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A94E9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94E9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八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A94E99">
        <w:rPr>
          <w:rFonts w:ascii="標楷體" w:eastAsia="標楷體" w:hAnsi="標楷體" w:cs="標楷體" w:hint="eastAsia"/>
          <w:b/>
          <w:sz w:val="28"/>
          <w:szCs w:val="28"/>
          <w:u w:val="single"/>
        </w:rPr>
        <w:t>莊靖芬</w:t>
      </w:r>
      <w:proofErr w:type="gramStart"/>
      <w:r w:rsidR="00C14C46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A94E99" w:rsidRPr="00A94E99"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</w:p>
    <w:p w:rsidR="003939AB" w:rsidRPr="003B59B2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proofErr w:type="gramStart"/>
      <w:r w:rsidR="00C14C46" w:rsidRPr="00CD4BE8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ˇ</w:t>
      </w:r>
      <w:proofErr w:type="gramEnd"/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14C46">
        <w:rPr>
          <w:rFonts w:ascii="標楷體" w:eastAsia="標楷體" w:hAnsi="標楷體" w:cs="標楷體" w:hint="eastAsia"/>
          <w:sz w:val="24"/>
          <w:szCs w:val="24"/>
        </w:rPr>
        <w:t>4</w:t>
      </w:r>
      <w:r w:rsidR="003B59B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F63F0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C14C46">
        <w:rPr>
          <w:rFonts w:ascii="標楷體" w:eastAsia="標楷體" w:hAnsi="標楷體" w:cs="標楷體" w:hint="eastAsia"/>
          <w:sz w:val="24"/>
          <w:szCs w:val="24"/>
        </w:rPr>
        <w:t>8</w:t>
      </w:r>
      <w:r w:rsidR="00F63F0C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F6602E" w:rsidRPr="00434C48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02E" w:rsidRPr="00EC7948" w:rsidRDefault="00C14C46" w:rsidP="00B62FC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D4BE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F6602E" w:rsidRPr="00EC7948" w:rsidRDefault="00C14C46" w:rsidP="00B5253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D4BE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F6602E" w:rsidRPr="00EC7948" w:rsidRDefault="00C14C46" w:rsidP="003D2C0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D4BE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F6602E" w:rsidRPr="00EC7948" w:rsidRDefault="00C14C46" w:rsidP="000333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D4BE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F6602E" w:rsidRPr="00EC7948" w:rsidRDefault="004C19F2" w:rsidP="00B15D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F6602E" w:rsidRPr="00EC7948" w:rsidRDefault="00C14C46" w:rsidP="001918A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D4BE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F6602E" w:rsidRPr="00EC7948" w:rsidRDefault="004C19F2" w:rsidP="0087131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 w:rsidR="00F6602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F6602E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F6602E" w:rsidRPr="00EC7948" w:rsidRDefault="00C14C46" w:rsidP="0011048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proofErr w:type="gramStart"/>
            <w:r w:rsidRPr="00CD4BE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F6602E" w:rsidRPr="001D3382" w:rsidRDefault="00C14C46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CD4BE8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ˇ</w:t>
            </w:r>
            <w:proofErr w:type="gramEnd"/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F6602E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F6602E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C46" w:rsidRPr="005218A4" w:rsidRDefault="00C14C46" w:rsidP="00C14C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數-J-A1:對於學習數學有信心和正向態度，能使用適當的數學語言進行溝通，並能將所學應用於日常生活中。</w:t>
            </w:r>
          </w:p>
          <w:p w:rsidR="00C14C46" w:rsidRPr="005218A4" w:rsidRDefault="00C14C46" w:rsidP="00C14C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數-J-A2:具備有理數、根式、坐標系之運作能力，並能以符號代表數或幾何物件，執行運算與推論，在生活情境或可理解的想像情境中，分析本質以解決問題。</w:t>
            </w:r>
          </w:p>
          <w:p w:rsidR="00C14C46" w:rsidRPr="005218A4" w:rsidRDefault="00C14C46" w:rsidP="00C14C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數-J-A3:具備識別現實生活問題和數學的關聯的能力，可從多元、彈性角度擬訂問題解決計畫，並能將問題解答轉化於真實世界。</w:t>
            </w:r>
          </w:p>
          <w:p w:rsidR="00C14C46" w:rsidRPr="005218A4" w:rsidRDefault="00C14C46" w:rsidP="00C14C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數-J-B1:具備處理代數與幾何中數學關係的能力，並用以描述情境中的現象。能在經驗範圍內，以數學語言表述平面與空間的基本關係和性質。能以基本的統計量與機率，描述生活中不確定性的程度。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:rsidR="00C14C46" w:rsidRPr="00B62FC1" w:rsidRDefault="00C14C46" w:rsidP="00C14C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數-J-B3:具備辨認藝術作品中的幾何形體或數量關係的素養，並能在數學的推導中，享受數學之美。</w:t>
            </w:r>
          </w:p>
          <w:p w:rsidR="00C14C46" w:rsidRPr="005218A4" w:rsidRDefault="00C14C46" w:rsidP="00C14C4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數-J-C2:樂於與他人良好互動與溝通以解決問題，並欣賞問題的多元解法。</w:t>
            </w:r>
          </w:p>
          <w:p w:rsidR="00F6602E" w:rsidRPr="00B62FC1" w:rsidRDefault="00C14C46" w:rsidP="00C14C4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數-J-C3:</w:t>
            </w:r>
            <w:proofErr w:type="gramStart"/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具備敏察和</w:t>
            </w:r>
            <w:proofErr w:type="gramEnd"/>
            <w:r w:rsidRPr="005218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接納數學發展的全球性歷史與地理背景的素養。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C14C46" w:rsidRDefault="00C14C46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C14C46" w:rsidRDefault="00C14C4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7509C2">
        <w:rPr>
          <w:noProof/>
        </w:rPr>
        <w:drawing>
          <wp:inline distT="0" distB="0" distL="0" distR="0">
            <wp:extent cx="1390650" cy="1905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46" w:rsidRDefault="00C14C4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4C46" w:rsidRDefault="00C14C4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14C46" w:rsidRDefault="00C14C4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414767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414767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414767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414767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:rsidTr="00414767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414767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</w:tr>
      <w:tr w:rsidR="00A238E9" w:rsidRPr="00BF73D8" w:rsidTr="00414767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C14C46" w:rsidP="0041476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</w:p>
        </w:tc>
        <w:tc>
          <w:tcPr>
            <w:tcW w:w="1290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A238E9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268"/>
        <w:gridCol w:w="2126"/>
        <w:gridCol w:w="2268"/>
        <w:gridCol w:w="567"/>
        <w:gridCol w:w="1824"/>
        <w:gridCol w:w="1417"/>
        <w:gridCol w:w="1559"/>
        <w:gridCol w:w="1784"/>
      </w:tblGrid>
      <w:tr w:rsidR="004C5DAB" w:rsidRPr="002026C7" w:rsidTr="00FF4DF1">
        <w:trPr>
          <w:trHeight w:val="27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FF4DF1">
        <w:trPr>
          <w:trHeight w:val="278"/>
          <w:jc w:val="center"/>
        </w:trPr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2/11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(2/11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五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N-8-3:認識數列：生活中常見的數列及其規律性（包括圖形的規律性）。</w:t>
            </w:r>
          </w:p>
          <w:p w:rsidR="00FF4DF1" w:rsidRPr="002C3B86" w:rsidRDefault="00FF4DF1" w:rsidP="00FF4DF1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N-8-4:等差數列：等差數列；給定首項、公差計算等差數列的一般項。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n-Ⅳ-7:辨識數列的規律性，以數學符號表徵生活中的數量關係與規律，認識等差數列與等比數列，並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能依首項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與公差或公比計算其他各項。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1-1等差數列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了解數列的意義。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能看出數列的規律性並求得下一項。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了解等差數列的意義。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能求出等差數列的首項、公差。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能了解等差數列第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項的通式。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00692" w:rsidRDefault="00FF4DF1" w:rsidP="00FF4DF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F4DF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量、紀錄的能力。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【國際教育】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國J4:尊重與欣賞世界不同文化的價值。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國J6:具備參與國際交流活動的能力。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00692" w:rsidRDefault="00FF4DF1" w:rsidP="00FF4DF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1開始上課</w:t>
            </w: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2/14~2/18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N-8-3:認識數列：生活中常見的數列及其規律性（包括圖形的規律性）。</w:t>
            </w:r>
          </w:p>
          <w:p w:rsidR="00FF4DF1" w:rsidRPr="002C3B86" w:rsidRDefault="00FF4DF1" w:rsidP="00FF4DF1">
            <w:pPr>
              <w:spacing w:line="0" w:lineRule="atLeast"/>
              <w:ind w:firstLine="0"/>
              <w:rPr>
                <w:rFonts w:eastAsia="標楷體"/>
                <w:color w:val="FF0000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N-8-4:等差數列：等差數列；給定首項、公差計算等差數列的一般項。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n-Ⅳ-7:辨識數列的規律性，以數學符號表徵生活中的數量關係與規律，認識等差數列與等比數列，並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能依首項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與公差或公比計算其他各項。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1-1等差數列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了解數列的意義。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能看出數列的規律性並求得下一項。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了解等差數列的意義。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能求出等差數列的首項、公差。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能了解等差數列第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項的通式。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00692" w:rsidRDefault="00FF4DF1" w:rsidP="00FF4DF1">
            <w:pPr>
              <w:ind w:left="317" w:hanging="31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戶J2:擴充對環境的理解，運用所學的知識到生活當中，具備觀察、描述、測量、紀錄的能力。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【國際教育】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國J4:尊重與欣賞世界不同文化的價值。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國J6:具備參與國際交流活動的能力。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00692" w:rsidRDefault="00FF4DF1" w:rsidP="00FF4DF1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2/21~2/25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N-8-3:認識數列：生活中常見的數列及其規律性（包括圖形的規律性）。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N-8-4:等差數列：等差數列；給定首項、公差計算等差數列的一般項。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N-8-5:等差級數求和：等差級數求和公式；生活中相關的問題。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n-Ⅳ-7:辨識數列的規律性，以數學符號表徵生活中的數量關係與規律，認識等差數列與等比數列，並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能依首項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與公差或公比計算其他各項。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n-Ⅳ-8:理解等差級數的求和公式，並能運用到日常生活的情境解決問題。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1-1等差數列、</w:t>
            </w:r>
          </w:p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1-2等差級數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能求出等差數列中的任意項。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將等差數列與其他數學觀念結合應用。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能了解等差級數的概念。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能了解等差級數前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項和的通式。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閱J10:主動尋求多元的詮釋，並試著表達自己的想法。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2/28~3/4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(2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 w:rsidRPr="00B26C28">
              <w:rPr>
                <w:rFonts w:eastAsia="標楷體"/>
                <w:color w:val="auto"/>
              </w:rPr>
              <w:t>28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放假一天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N-8-5:等差級數求和：等差級數求和公式；生活中相關的問題。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n-Ⅳ-8:理解等差級數的求和公式，並能運用到日常生活的情境解決問題。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1-2等差級數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能求出等差級數的首項、公差、項數、第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項及前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項的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和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運用等差數列及等差級數的觀念解決生活情境中的問題。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察、描述、測量、紀錄的能力。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【國際教育】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國J4:尊重與欣賞世界不同文化的價值。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國J6:具備參與國際交流活動的能力。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891923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3/7~3/11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N-8-6:等比數列：等比數列；給定首項、公比計算等比數列的一般項。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n-Ⅳ-7:辨識數列的規律性，以數學符號表徵生活中的數量關係與規律，認識等差數列與等比數列，並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能依首項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與公差或公比計算其他各項。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1-3等比數列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了解等比數列的意義。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能求出等比數列的首項、公比。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能了解等比數列第n 項的通式。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能求出等比數列中的任意項。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戶J2:擴充對環境的理解，運用所學的知識到生活當中，具備觀察、描述、測量、紀錄的能力。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【國際教育】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國J4:尊重與欣賞世界不同文化的價值。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891923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3/14~3/18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N-8-6:等比數列：等比數列；給定首項、公比計算等比數列的一般項。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F-8-1:</w:t>
            </w:r>
            <w:r w:rsidRPr="00B365EE">
              <w:rPr>
                <w:rFonts w:ascii="標楷體" w:eastAsia="標楷體" w:hAnsi="標楷體" w:cs="標楷體"/>
                <w:bCs/>
                <w:sz w:val="24"/>
                <w:szCs w:val="24"/>
              </w:rPr>
              <w:t>一次函數：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透過對應關係認識函數（不要出現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f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x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60146E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3E1A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3A3E1A&quot; wsp:rsidP=&quot;003A3E1A&quot;&gt;&lt;m:oMathPara&gt;&lt;m:oMath&gt;&lt;m:r&gt;&lt;w:rPr&gt;&lt;w:rFonts w:ascii=&quot;Cambria Math&quot; w:fareast=&quot;?啁敦??&quot; w:h-ansi:val=&quot;l=&quot;l=&quot;=&quot;Cambria Math&quot;/&gt;&lt;wx:font wx:val=&quot;Cambria Math&quot;/&gt;&lt;w:i/&gt;&lt;w:sz w:val=&quot;16&quot;/&gt;&lt;w:sz-cs w:val=&quot;16&quot;/&gt;&lt;/w:rPr&gt;&lt;m:t&gt;f&lt;/m:t&gt;&lt;/m:r&gt;&lt;m:d&gt;&lt;m:dPr&gt;&lt;m:ctrlPr&gt;&lt;w:rPr&gt;&lt;w:rFonts w:ascii=&quot;Cambria Math&quot; w:fareast=&quot;?啁敦??&quot; w:h-ansi=&quot;Cambria Math&quot;/&gt;&lt;wx:font wx:val=&quot;Caml=&quot;bril=&quot;:val=&quot;a Math&quot;/&gt;&lt;w:sz w:val=&quot;16&quot;/&gt;&lt;w:sz-cs w:val=&quot;16&quot;/&gt;&lt;/w:rPr&gt;&lt;/m:ctrlPr&gt;&lt;/m:dPr&gt;&lt;m:e&gt;&lt;m:r&gt;&lt;w:rPr&gt;&lt;w:rFonts w:ascii=&quot;Cambria Math&quot; w:fareast=&quot;?啁敦??&quot; w:h-ansi=&quot;Cambria Math&quot;/&gt;&lt;wx:font wx:val=&quot;Cambria Math&quot;/&gt;&lt;w:i/&gt;&lt;w:sz w:val=&quot;16&quot;/&gt;&lt;w:sz-cs w:val=l=&quot;&quot;16&quot;/&gt;l=&quot;&lt;/w:val=&quot;:rPr&gt;&lt;m:t&gt;x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的抽象型式）、常數函數（</w:t>
            </w:r>
            <w:r w:rsidRPr="00B365EE">
              <w:rPr>
                <w:rFonts w:ascii="標楷體" w:eastAsia="標楷體" w:hAnsi="標楷體" w:cs="標楷體"/>
                <w:i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i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i/>
                <w:sz w:val="24"/>
                <w:szCs w:val="24"/>
              </w:rPr>
              <w:pict w14:anchorId="0AD685D0">
                <v:shape id="_x0000_i1026" type="#_x0000_t75" style="width:18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188D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29188D&quot; wsp:rsidP=&quot;0029188D&quot;&gt;&lt;m:oMathPara&gt;&lt;m:oMath&gt;&lt;m:r&gt;&lt;w:rPr&gt;&lt;w:rFonts w:ascii=&quot;Cambria Math&quot; w:fareast=&quot;?啁敦??&quot; w:h-ansi:val=&quot;l=&quot;l=&quot;=&quot;Cambria Math&quot;/&gt;&lt;wx:font wx:val=&quot;Cambria Math&quot;/&gt;&lt;w:i/&gt;&lt;w:sz w:val=&quot;16&quot;/&gt;&lt;w:sz-cs w:val=&quot;16&quot;/&gt;&lt;/w:rPr&gt;&lt;m:t&gt;y=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i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i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y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＝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）、一次函數（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y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＝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ax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＋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b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62D83A00">
                <v:shape id="_x0000_i1027" type="#_x0000_t75" style="width:38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012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2A4012&quot; wsp:rsidP=&quot;002A4012&quot;&gt;&lt;m:oMathPara&gt;&lt;m:oMath&gt;&lt;m:r&gt;&lt;w:rPr&gt;&lt;w:rFonts w:ascii=&quot;Cambria Math&quot; w:fareast=&quot;?啁敦??&quot; w:h-ansi:val=&quot;l=&quot;l=&quot;=&quot;Cambria Math&quot;/&gt;&lt;wx:font wx:val=&quot;Cambria Math&quot;/&gt;&lt;w:i/&gt;&lt;w:sz w:val=&quot;16&quot;/&gt;&lt;w:sz-cs w:val=&quot;16&quot;/&gt;&lt;/w:rPr&gt;&lt;m:t&gt;y=ax+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）。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F-8-2:</w:t>
            </w:r>
            <w:r w:rsidRPr="00B365EE">
              <w:rPr>
                <w:rFonts w:ascii="標楷體" w:eastAsia="標楷體" w:hAnsi="標楷體" w:cs="標楷體"/>
                <w:bCs/>
                <w:sz w:val="24"/>
                <w:szCs w:val="24"/>
              </w:rPr>
              <w:t>一次函數的圖形：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常數函數的圖形；一次函數的圖形。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n-Ⅳ-7:辨識數列的規律性，以數學符號表徵生活中的數量關係與規律，認識等差數列與等比數列，並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能依首項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與公差或公比計算其他各項。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f-Ⅳ-1:理解常數函數和一次函數的意義，能描繪常數函數和一次函數的圖形，並能運用到日常生活的情境解決問題。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1-3等比數列、</w:t>
            </w:r>
          </w:p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2-1函數與函數圖形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等比中項的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意義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並求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值。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能運用等比數列及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等比中項的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觀念，進而用來解決等比數列的問題。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透過數個對應關係的實例理解函數的意義。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能判斷兩數量之間的對應關係是否為函數關係。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能理解函數、函數值的定義。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6.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能知道函數的表示法。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能求函數值。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【戶外教育】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【國際教育】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國J4:尊重與欣賞世界不同文化的價值。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891923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  <w:r w:rsidRPr="00B26C28">
              <w:rPr>
                <w:rFonts w:eastAsia="標楷體"/>
                <w:color w:val="auto"/>
              </w:rPr>
              <w:t>.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3/21~3/25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F-8-1:</w:t>
            </w:r>
            <w:r w:rsidRPr="00B365EE">
              <w:rPr>
                <w:rFonts w:ascii="標楷體" w:eastAsia="標楷體" w:hAnsi="標楷體" w:cs="標楷體"/>
                <w:bCs/>
                <w:sz w:val="24"/>
                <w:szCs w:val="24"/>
              </w:rPr>
              <w:t>一次函數：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透過對應關係認識函數（不要出現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f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x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779E640D">
                <v:shape id="_x0000_i1028" type="#_x0000_t75" style="width:15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3E1A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3A3E1A&quot; wsp:rsidP=&quot;003A3E1A&quot;&gt;&lt;m:oMathPara&gt;&lt;m:oMath&gt;&lt;m:r&gt;&lt;w:rPr&gt;&lt;w:rFonts w:ascii=&quot;Cambria Math&quot; w:fareast=&quot;?啁敦??&quot; w:h-ansi:val=&quot;l=&quot;l=&quot;=&quot;Cambria Math&quot;/&gt;&lt;wx:font wx:val=&quot;Cambria Math&quot;/&gt;&lt;w:i/&gt;&lt;w:sz w:val=&quot;16&quot;/&gt;&lt;w:sz-cs w:val=&quot;16&quot;/&gt;&lt;/w:rPr&gt;&lt;m:t&gt;f&lt;/m:t&gt;&lt;/m:r&gt;&lt;m:d&gt;&lt;m:dPr&gt;&lt;m:ctrlPr&gt;&lt;w:rPr&gt;&lt;w:rFonts w:ascii=&quot;Cambria Math&quot; w:fareast=&quot;?啁敦??&quot; w:h-ansi=&quot;Cambria Math&quot;/&gt;&lt;wx:font wx:val=&quot;Caml=&quot;bril=&quot;:val=&quot;a Math&quot;/&gt;&lt;w:sz w:val=&quot;16&quot;/&gt;&lt;w:sz-cs w:val=&quot;16&quot;/&gt;&lt;/w:rPr&gt;&lt;/m:ctrlPr&gt;&lt;/m:dPr&gt;&lt;m:e&gt;&lt;m:r&gt;&lt;w:rPr&gt;&lt;w:rFonts w:ascii=&quot;Cambria Math&quot; w:fareast=&quot;?啁敦??&quot; w:h-ansi=&quot;Cambria Math&quot;/&gt;&lt;wx:font wx:val=&quot;Cambria Math&quot;/&gt;&lt;w:i/&gt;&lt;w:sz w:val=&quot;16&quot;/&gt;&lt;w:sz-cs w:val=l=&quot;&quot;16&quot;/&gt;l=&quot;&lt;/w:val=&quot;:rPr&gt;&lt;m:t&gt;x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的抽象型式）、常數函數（</w:t>
            </w:r>
            <w:r w:rsidRPr="00B365EE">
              <w:rPr>
                <w:rFonts w:ascii="標楷體" w:eastAsia="標楷體" w:hAnsi="標楷體" w:cs="標楷體"/>
                <w:i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i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i/>
                <w:sz w:val="24"/>
                <w:szCs w:val="24"/>
              </w:rPr>
              <w:pict w14:anchorId="12714667">
                <v:shape id="_x0000_i1029" type="#_x0000_t75" style="width:18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188D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29188D&quot; wsp:rsidP=&quot;0029188D&quot;&gt;&lt;m:oMathPara&gt;&lt;m:oMath&gt;&lt;m:r&gt;&lt;w:rPr&gt;&lt;w:rFonts w:ascii=&quot;Cambria Math&quot; w:fareast=&quot;?啁敦??&quot; w:h-ansi:val=&quot;l=&quot;l=&quot;=&quot;Cambria Math&quot;/&gt;&lt;wx:font wx:val=&quot;Cambria Math&quot;/&gt;&lt;w:i/&gt;&lt;w:sz w:val=&quot;16&quot;/&gt;&lt;w:sz-cs w:val=&quot;16&quot;/&gt;&lt;/w:rPr&gt;&lt;m:t&gt;y=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i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i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y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＝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）、一次函數（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y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＝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ax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＋</w:t>
            </w:r>
            <w:r w:rsidRPr="00B365EE">
              <w:rPr>
                <w:rFonts w:ascii="標楷體" w:eastAsia="標楷體" w:hAnsi="標楷體" w:cs="標楷體" w:hint="eastAsia"/>
                <w:i/>
                <w:sz w:val="24"/>
                <w:szCs w:val="24"/>
              </w:rPr>
              <w:t>b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1EA6A4AD">
                <v:shape id="_x0000_i1030" type="#_x0000_t75" style="width:38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012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2A4012&quot; wsp:rsidP=&quot;002A4012&quot;&gt;&lt;m:oMathPara&gt;&lt;m:oMath&gt;&lt;m:r&gt;&lt;w:rPr&gt;&lt;w:rFonts w:ascii=&quot;Cambria Math&quot; w:fareast=&quot;?啁敦??&quot; w:h-ansi:val=&quot;l=&quot;l=&quot;=&quot;Cambria Math&quot;/&gt;&lt;wx:font wx:val=&quot;Cambria Math&quot;/&gt;&lt;w:i/&gt;&lt;w:sz w:val=&quot;16&quot;/&gt;&lt;w:sz-cs w:val=&quot;16&quot;/&gt;&lt;/w:rPr&gt;&lt;m:t&gt;y=ax+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）。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F-8-2:</w:t>
            </w:r>
            <w:r w:rsidRPr="00B365EE">
              <w:rPr>
                <w:rFonts w:ascii="標楷體" w:eastAsia="標楷體" w:hAnsi="標楷體" w:cs="標楷體"/>
                <w:bCs/>
                <w:sz w:val="24"/>
                <w:szCs w:val="24"/>
              </w:rPr>
              <w:t>一次函數的圖形：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常數函數的圖形；一次函數的圖形。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f-Ⅳ-1:理解常數函數和一次函數的意義，能描繪常數函數和一次函數的圖形，並能運用到日常生活的情境解決問題。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2-1函數與函數圖形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能了解函數圖形的意義。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能畫出函數圖形。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能了解並畫出線型函數的圖形。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知道線型函數中，常數函數與一次函數的差異。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能從圖形求出函數。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能了解線型函數圖形的應用。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【科技教育】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科J6:具有正確的科技價值觀，並適當的選用科技產品。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【資訊教育】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資J10:有系統地整理數位資源。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3/28~4/1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(3/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29(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二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0(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S-8-1:角：角的種類；兩個角的關係（互餘、互補、對頂角、同位角、內錯角、同側內角）；角平分線的意義。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S-8-12:尺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作出指定的中垂線、角平分線、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平行線、垂直線；能寫出幾何推理所依據的幾何性質。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lastRenderedPageBreak/>
              <w:t>s-Ⅳ-2: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理解角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的各種性質、三角形與凸多邊形的內角和外角的意義、三角形的外角和、與凸多邊形的內角和，並能應用於解決幾何與日常生活的問題。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s-Ⅳ-13:理解直尺、圓規操作過程的敘述，並應用於尺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作圖。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3-1角與尺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</w:t>
            </w:r>
          </w:p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【第一次評量週】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認識角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的種類：銳角、直角、鈍角、平角、周角。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認識兩角的關係：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互餘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、互補、對頂角。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了解角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平分線的意義。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了解尺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能利用尺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作線段、角的複製。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能利用尺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作圖作：垂直平分線、角平分線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【多元文化教育】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多J6:分析不同群體的文化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如何影響社會與生活方式。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【戶外教育】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 w:rsidR="007B3628"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,</w:t>
            </w:r>
            <w:r w:rsidR="007B3628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 w:rsidR="007B3628"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第一次段考</w:t>
            </w: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4/4~4/8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(4/4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proofErr w:type="gramStart"/>
            <w:r w:rsidRPr="00B26C28">
              <w:rPr>
                <w:rFonts w:eastAsia="標楷體" w:hint="eastAsia"/>
                <w:color w:val="auto"/>
              </w:rPr>
              <w:t>一</w:t>
            </w:r>
            <w:proofErr w:type="gramEnd"/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兒童節、</w:t>
            </w:r>
            <w:r w:rsidRPr="00B26C28">
              <w:rPr>
                <w:rFonts w:eastAsia="標楷體"/>
                <w:color w:val="auto"/>
              </w:rPr>
              <w:t>4/5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清明節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S-8-12:尺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作出指定的中垂線、角平分線、平行線、垂直線；能寫出幾何推理所依據的幾何性質。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S-8-2: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凸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多邊形的內角和：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凸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多邊形的意義；內角與外角的意義；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凸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多邊形的內角和公式；正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邊形的每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個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內角度數。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s-Ⅳ-13:理解直尺、圓規操作過程的敘述，並應用於尺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作圖。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s-Ⅳ-2: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理解角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的各種性質、三角形與凸多邊形的內角和外角的意義、三角形的外角和、與凸多邊形的內角和，並能應用於解決幾何與日常生活的問題。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3-1角與尺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作圖、</w:t>
            </w:r>
          </w:p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3-2三角形與多邊形的內角與外角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能利用尺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作圖作：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過線上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一點的垂直線、過線外一點的垂直線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複習小學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過「任意三角形的內角和為180度」。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 理解三角形外角的意義。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理解繞行三角形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邊後，面對與起點同一方向時，共旋轉了360°。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能利用三角形內角和說出一組外角是360°。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【戶外教育】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BF5160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4/7線上教學</w:t>
            </w: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4/11~4/15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S-8-2: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凸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多邊形的內角和：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凸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多邊形的意義；內角與外角的意義；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凸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多邊形的內角和公式；正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邊形的每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個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內角度數。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s-Ⅳ-2: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理解角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的各種性質、三角形與凸多邊形的內角和外角的意義、三角形的外角和、與凸多邊形的內角和，並能應用於解決幾何與日常生活的問題。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3-2三角形與多邊形的內角與外角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理解三角形外角定理：三角形的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外角等於不相鄰兩內角的和。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能理解過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邊形的一個頂點對其他點可以作出(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－3)條對角線。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理解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邊形的內角和為(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－2)×180°。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能理解其他求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n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邊形內角和的方法。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能計算正多邊形每一個內角與外角度數。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能利用所學性質解題。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管道獲得文本資源。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4/18~4/22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S-8-4:全等圖形：全等圖形的意義（兩個圖形經過平移、旋轉或翻轉可以完全疊合）；兩個多邊形全等則其對應邊和對應角相等（反之亦然）。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S-8-5:三角形的全等性質：三角形的全等判定（SAS、SSS、ASA、AAS、RHS）；全等符號（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460E8D94">
                <v:shape id="_x0000_i1031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3B74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A13B74&quot; wsp:rsidP=&quot;00A13B74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separate"/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375A3DC2">
                <v:shape id="_x0000_i1032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3B74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A13B74&quot; wsp:rsidP=&quot;00A13B74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）。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s-Ⅳ-4:理解平面圖形全等的意義，知道圖形經平移、旋轉、鏡射後仍保持全等，並能應用於解決幾何與日常生活的問題。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s-Ⅳ-9:理解三角形的邊角關係，利用邊角對應相等，判斷兩個三角形的全等，並能應用於解決幾何與日常生活的問題。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3-3三角形的全等性質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能理解當兩個平面圖形能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完全疊合時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，就稱這兩個圖形「全等」。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能理解兩個全等圖形，它們的形狀一樣，而且大小相等。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能理解當兩個三角形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完全疊合時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，就稱它們「全等」。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能理解疊合時對應點、對應邊、對應角的意義。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能理解△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ABC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sym w:font="Symbol" w:char="F040"/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△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DEF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的讀法和意義。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 能理解如果兩個三角形同時滿足三組對應邊相等，和三組對應角相等時，它們全等。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7.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能理解已知兩組邊對應相等的兩個三角形不一定會全等。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能作三角形的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SSS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能理解三角形的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SSS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全等性質。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能作三角形的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SAS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能理解三角形的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SAS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全等性質。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【多元文化教育】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多J6:分析不同群體的文化如何影響社會與生活方式。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4/25~4/29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S-8-5:三角形的全等性質：三角形的全等判定（SAS、SSS、ASA、AAS、RHS）；全等符號（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51584A02">
                <v:shape id="_x0000_i1033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3B74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A13B74&quot; wsp:rsidP=&quot;00A13B74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separate"/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431C14DB">
                <v:shape id="_x0000_i1034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3B74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A13B74&quot; wsp:rsidP=&quot;00A13B74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）。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s-Ⅳ-9:理解三角形的邊角關係，利用邊角對應相等，判斷兩個三角形的全等，並能應用於解決幾何與日常生活的問題。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3-3三角形的全等性質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能理解兩個三角形滿足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SSA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的情形時，不一定能做出唯一的三角形。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能理解三角形沒有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SSA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或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ASS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全等性質。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能理解兩個直角三角形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RHS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全等性質。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能作三角形的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ASA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能理解三角形的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ASA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全等性質。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能理解三角形的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AAS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全等性質。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7.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能理解兩個三角形只有兩雙對應角相等，則不一定全等。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8.能理解三角形的全等性質中沒有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AAA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全等性質。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何利用適當的管道獲得文本資源。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5/2~5/6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S-8-5:三角形的全等性質：三角形的全等判定（SAS、SSS、ASA、AAS、RHS）；全等符號（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2FF20983">
                <v:shape id="_x0000_i1035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1785D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91785D&quot; wsp:rsidP=&quot;0091785D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separate"/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7363C645">
                <v:shape id="_x0000_i1036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1785D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91785D&quot; wsp:rsidP=&quot;0091785D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S-8-8:三角形的基本性質：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等腰三角形兩底角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相等；非等腰三角形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大角對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大邊，大邊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對大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角；三角形兩邊和大於第三邊；外角等於其內對角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和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S-8-12:尺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作出指定的中垂線、角平分線、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平行線、垂直線；能寫出幾何推理所依據的幾何性質。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lastRenderedPageBreak/>
              <w:t>s-Ⅳ-4:理解平面圖形全等的意義，知道圖形經平移、旋轉、鏡射後仍保持全等，並能應用於解決幾何與日常生活的問題。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s-Ⅳ-9:理解三角形的邊角關係，利用邊角對應相等，判斷兩個三角形的全等，並能應用於解決幾何與日常生活的問題。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s-Ⅳ-13:理解直尺、圓規操作過程的敘述，並應用於尺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作圖。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3-4垂直平分線與角平分線的性質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能驗證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線段的垂直平分線上的點到此線段兩端點的距離相等。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能驗證若有一點到某線段兩端點距離相等，則這個點會在該線段的垂直平分線上。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驗證角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平分線上任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一點到角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的兩邊距離相等。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能驗證到一個角的兩邊等距離的點，必在此角的角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平分線上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5/9~5/13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(5/12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-13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五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2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S-8-5:三角形的全等性質：三角形的全等判定（SAS、SSS、ASA、AAS、RHS）；全等符號（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begin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QUOTE </w:instrText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23FEE889">
                <v:shape id="_x0000_i1037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1785D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91785D&quot; wsp:rsidP=&quot;0091785D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instrText xml:space="preserve"> </w:instrTex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separate"/>
            </w:r>
            <w:r w:rsidR="00182C69">
              <w:rPr>
                <w:rFonts w:ascii="標楷體" w:eastAsia="標楷體" w:hAnsi="標楷體" w:cs="標楷體"/>
                <w:sz w:val="24"/>
                <w:szCs w:val="24"/>
              </w:rPr>
              <w:pict w14:anchorId="052B9768">
                <v:shape id="_x0000_i1038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1785D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91785D&quot; wsp:rsidP=&quot;0091785D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fldChar w:fldCharType="end"/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S-8-8:三角形的基本性質：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等腰三角形兩底角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相等；非等腰三角形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大角對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大邊，大邊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對大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角；三角形兩邊和大於第三邊；外角等於其內對角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和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S-8-12:尺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作圖與幾何推理：複製已知的線段、圓、角、三角形；能以尺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作出指定的中垂線、角平分線、平行線、垂直線；能寫出幾何推理所依據的幾何性質。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s-Ⅳ-4:理解平面圖形全等的意義，知道圖形經平移、旋轉、鏡射後仍保持全等，並能應用於解決幾何與日常生活的問題。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s-Ⅳ-9:理解三角形的邊角關係，利用邊角對應相等，判斷兩個三角形的全等，並能應用於解決幾何與日常生活的問題。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s-Ⅳ-13:理解直尺、圓規操作過程的敘述，並應用於尺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作圖。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3-4垂直平分線與角平分線的性質、3-5三角形的邊角關係</w:t>
            </w:r>
          </w:p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  <w:t>【第二次評量週】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能驗證等腰三角形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的兩底角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相等。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能驗證等腰三角形的頂角平分線就是底邊的垂直平分線。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 能驗證若三角形的兩個內角相等，則此三角形必為等腰三角形。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 理解兩點之間以直線距離最短。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 理解三角形任兩邊之和大於第三邊、任兩邊之差小於第三邊。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6. 能理解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b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是△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ABC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的三邊長，且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c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≧</w:t>
            </w:r>
            <w:proofErr w:type="gramEnd"/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≧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b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時，則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＋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b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＞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成立。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 能根據任意給定的三線段，以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SSS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圖判斷是否可以作出三角形。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 能理解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線段長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b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≧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且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≧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b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，若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a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＋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b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＞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c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時，則這三條線段可以構成一個三角形。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能應用前述性質解題。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【戶外教育】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="00173FC3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/1</w:t>
            </w:r>
            <w:r w:rsidR="00173FC3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第二次段考</w:t>
            </w: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第十五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5/16~5/20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S-8-8:三角形的基本性質：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等腰三角形兩底角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相等；非等腰三角形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大角對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大邊，大邊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對大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角；三角形兩邊和大於第三邊；外角等於其內對角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和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s-Ⅳ-9:理解三角形的邊角關係，利用邊角對應相等，判斷兩個三角形的全等，並能應用於解決幾何與日常生活的問題。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3-5三角形的邊角關係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在一個三角形中，等邊對等角，等角對等邊。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在一個三角形中，若兩邊不相等，則大邊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對大角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在一個三角形中，若兩角不相等，則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大角對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大邊。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若三角形的三邊長滿足畢氏定理，則此三角形是一個直角三角形。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【戶外教育】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BF5160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5/17線上教學</w:t>
            </w: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5/23~5/27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S-8-1:角：角的種類；兩個角的關係（互餘、互補、對頂角、同位角、內錯角、同側內角）；角平分線的意義。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S-8-3:平行：平行的意義與符號；平行線截角性質；兩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平行線間的距離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處處相等。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s-Ⅳ-2: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理解角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的各種性質、三角形與凸多邊形的內角和外角的意義、三角形的外角和、與凸多邊形的內角和，並能應用於解決幾何與日常生活的問題。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s-Ⅳ-3:理解兩條直線的垂直和平行的意義，以及各種性質，並能應用於解</w:t>
            </w:r>
            <w:r w:rsidRPr="00B365EE">
              <w:rPr>
                <w:rFonts w:ascii="標楷體" w:eastAsia="標楷體" w:hAnsi="標楷體"/>
                <w:sz w:val="24"/>
                <w:szCs w:val="24"/>
              </w:rPr>
              <w:lastRenderedPageBreak/>
              <w:t>決幾何與日常生活的問題。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4-1平行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了解平行線的定義是：在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平面上，兩直線如果可以找到一條共同的垂直線，我們就稱這兩直線互相平行。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能理解平行線的基本性質：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(1) 兩直線平行時，若一直線與其中一條平行線垂直，則必與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另一條平行線互相垂直。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(2) 兩平行線的距離處處相等。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(3) 對於相異三直線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1、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2、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3而言，如果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1//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2、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2//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3，則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1//</w:t>
            </w:r>
            <w:r w:rsidRPr="00B365EE">
              <w:rPr>
                <w:rFonts w:ascii="標楷體" w:eastAsia="標楷體" w:hAnsi="標楷體" w:hint="eastAsia"/>
                <w:i/>
                <w:color w:val="auto"/>
                <w:sz w:val="24"/>
                <w:szCs w:val="24"/>
              </w:rPr>
              <w:t>L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能認識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截線與截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角的定義。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 能理解平行線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的截線性質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：兩平行線被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一直線所截的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同位角相等、內錯角相等、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同側內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角互補。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 能利用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平行線截線性質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進行運算。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【戶外教育】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5/30~6/3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 w:rsidRPr="00B26C28">
              <w:rPr>
                <w:rFonts w:eastAsia="標楷體" w:hint="eastAsia"/>
                <w:color w:val="auto"/>
              </w:rPr>
              <w:t>五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端午節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S-8-1:角：角的種類；兩個角的關係（互餘、互補、對頂角、同位角、內錯角、同側內角）；角平分線的意義。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S-8-3:平行：平行的意義與符號；平行線截角性質；兩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平行線間的距離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處處相等。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lastRenderedPageBreak/>
              <w:t>s-Ⅳ-2:</w:t>
            </w:r>
            <w:proofErr w:type="gramStart"/>
            <w:r w:rsidRPr="00B365EE">
              <w:rPr>
                <w:rFonts w:ascii="標楷體" w:eastAsia="標楷體" w:hAnsi="標楷體"/>
                <w:sz w:val="24"/>
                <w:szCs w:val="24"/>
              </w:rPr>
              <w:t>理解角</w:t>
            </w:r>
            <w:proofErr w:type="gramEnd"/>
            <w:r w:rsidRPr="00B365EE">
              <w:rPr>
                <w:rFonts w:ascii="標楷體" w:eastAsia="標楷體" w:hAnsi="標楷體"/>
                <w:sz w:val="24"/>
                <w:szCs w:val="24"/>
              </w:rPr>
              <w:t>的各種性質、三角形與凸多邊形的內角和外角的意義、三角形的外角和、與凸多邊形的內角和，並能應用於解決幾</w:t>
            </w:r>
            <w:r w:rsidRPr="00B365EE">
              <w:rPr>
                <w:rFonts w:ascii="標楷體" w:eastAsia="標楷體" w:hAnsi="標楷體"/>
                <w:sz w:val="24"/>
                <w:szCs w:val="24"/>
              </w:rPr>
              <w:lastRenderedPageBreak/>
              <w:t>何與日常生活的問題。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s-Ⅳ-3:理解兩條直線的垂直和平行的意義，以及各種性質，並能應用於解決幾何與日常生活的問題。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4-1平行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 能理解平行線的判別性質：若兩直線被另一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直線所截的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同位角相等或內錯角相等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或同側內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角互補，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則這兩條直線互相平行。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 能判別兩直線是否互相平行。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 能利用工具，過線外一點作平行線。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【戶外教育】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第十八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6/6~6/10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S-8-9:平行四邊形的基本性質：關於平行四邊形的內角、邊、對角線等的幾何性質。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s-Ⅳ-8:理解特殊三角形（如正三角形、等腰三角形、直角三角形）、特殊四邊形（如正方形、矩形、平行四邊形、菱形、箏形、梯形）和正多邊形的幾何性質及相關問題。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4-2平行四邊形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 能了解平行四邊形的定義是「兩雙對邊互相平行的四邊形」。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 能經由定義，理解平行四邊形的「鄰角互補、對角相等」性質。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 能探討平行四邊形的性質：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(1) 鄰角互補、對角相等。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(2) 兩雙對邊分別相等。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(3) 對角線將其分為兩個全等三角形。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(4) 兩對角線互相平分。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(5) 兩對角線將其面積四等分。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 能理解兩雙對角分別相等的四邊形是平行四邊形。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 能理解兩雙對邊分別相等的四邊形是平行四邊形。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6. 能理解一雙對邊平行且相等的四邊形是平行四邊形。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【多元文化教育】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多J6:分析不同群體的文化如何影響社會與生活方式。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【戶外教育】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6/13~6/17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S-8-9:平行四邊形的基本性質：關於平行四邊形的內角、邊、對角線等的幾何性質。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S-8-10:正方形、長方形、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箏形的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基本性質：長方形的對角線等長且互相平分；菱形對角線互相垂直平分；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箏形的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其中一條對角線垂直平分另一條對角線。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t>s-Ⅳ-8:理解特殊三角形（如正三角形、等腰三角形、直角三角形）、特殊四邊形（如正方形、矩形、平行四邊形、菱形、箏形、梯形）和正多邊形的幾何性質及相關問題。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4-2平行四邊形、</w:t>
            </w:r>
          </w:p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4-3特殊四邊形的性質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能理解兩對角線互相平分的四邊形是平行四邊形。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能利用尺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作圖畫出平行四邊形。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能理解四個內角都是直角的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四邊形稱為長方形。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 能理解長方形的對角線等長而且互相平分。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5. 能理解四邊等長的四邊形稱為菱形。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6. 能理解菱形的對角線互相垂直平分。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7. 能理解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兩組鄰邊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等長的四邊形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稱為箏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8. 能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理解箏形的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其中一條對角線垂直平分另一條對角線。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9. 能理解四邊形其中一條對角線垂直平分另一條對角線的必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是箏形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10. 能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理解箏形面積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＝兩條對角線長乘積的一半。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11. 能理解四個內角都是直角且四邊等長的四邊形稱為正方形。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12. 能理解長方形、菱形、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箏形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、正方形與平行四邊形的包含關係。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閱讀之外，依學習需求選擇適當的閱讀媒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材，並了解如何利用適當的管道獲得文本資源。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6/20~6/24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S-8-11:梯形的基本性質：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等腰梯形的兩底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角相等；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等腰梯形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為線對稱圖形；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梯形兩腰中點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的連線段長等於</w:t>
            </w:r>
            <w:proofErr w:type="gramStart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兩</w:t>
            </w: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底</w:t>
            </w:r>
            <w:proofErr w:type="gramEnd"/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長和的一半，且平行於上下底。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/>
                <w:sz w:val="24"/>
                <w:szCs w:val="24"/>
              </w:rPr>
              <w:lastRenderedPageBreak/>
              <w:t>s-Ⅳ-8:理解特殊三角形（如正三角形、等腰三角形、直角三角形）、特殊四邊形（如正方形、矩形、平行四</w:t>
            </w:r>
            <w:r w:rsidRPr="00B365EE">
              <w:rPr>
                <w:rFonts w:ascii="標楷體" w:eastAsia="標楷體" w:hAnsi="標楷體"/>
                <w:sz w:val="24"/>
                <w:szCs w:val="24"/>
              </w:rPr>
              <w:lastRenderedPageBreak/>
              <w:t>邊形、菱形、箏形、梯形）和正多邊形的幾何性質及相關問題。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4-3特殊四邊形的性質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能理解梯形中，腰、底、底角、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梯形兩腰中點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的連線段等名詞的意義。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2. 能理解只有一組對邊平行的四邊形稱為梯形。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3. 能理解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梯形兩腰中點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的連線段平行上、下底邊且長度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等於兩底長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度和的一半。</w:t>
            </w: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4. 能理解梯形的面積＝</w:t>
            </w:r>
            <w:proofErr w:type="gramStart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兩腰中點</w:t>
            </w:r>
            <w:proofErr w:type="gramEnd"/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連線長×高。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口頭回答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作業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【性別平等教育】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性J11:去除性別刻板與性別偏見的情感表達與溝通，具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備與他人平等互動的能力。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【原住民族教育】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原J2:了解原住民族語言發展的文化脈絡與智慧。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原J3:培養對各種語言文化差異的尊重。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原J9:學習向他人介紹各種原住民族文化展現。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【多元文化教育】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多J6:分析不同群體的文化如何影響社會與生活方式。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/>
                <w:sz w:val="24"/>
                <w:szCs w:val="24"/>
              </w:rPr>
              <w:t>【閱讀素養教育】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閱J1:發展多元文本的閱讀策略。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閱J4:</w:t>
            </w: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除紙本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閱讀之外，依學習需求選擇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適當的閱讀媒材，並了解如何利用適當的管道獲得文本資源。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閱J10:主動尋求多元的詮釋，並試著表達自己的想法。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【戶外教育】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戶J2:擴充對環境的理解，運用所學的知識到生活當中，具備觀察、描述、測量、紀錄的能力。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F4DF1" w:rsidRPr="00500692" w:rsidTr="00FF4DF1">
        <w:trPr>
          <w:trHeight w:val="88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第二十一</w:t>
            </w:r>
            <w:proofErr w:type="gramStart"/>
            <w:r w:rsidRPr="00B26C28">
              <w:rPr>
                <w:rFonts w:eastAsia="標楷體"/>
                <w:color w:val="auto"/>
              </w:rPr>
              <w:t>週</w:t>
            </w:r>
            <w:proofErr w:type="gramEnd"/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6/27~6/30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(6/29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三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-30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(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四</w:t>
            </w:r>
            <w:r w:rsidRPr="00B26C28">
              <w:rPr>
                <w:rFonts w:eastAsia="標楷體" w:hint="eastAsia"/>
                <w:color w:val="auto"/>
                <w:highlight w:val="yellow"/>
              </w:rPr>
              <w:t>)</w:t>
            </w:r>
            <w:r w:rsidRPr="00B26C28">
              <w:rPr>
                <w:rFonts w:eastAsia="標楷體"/>
                <w:color w:val="auto"/>
                <w:highlight w:val="yellow"/>
              </w:rPr>
              <w:t>七、八年級</w:t>
            </w:r>
            <w:r w:rsidRPr="00B26C28">
              <w:rPr>
                <w:rFonts w:eastAsia="標楷體"/>
                <w:color w:val="auto"/>
                <w:highlight w:val="yellow"/>
              </w:rPr>
              <w:t>3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  <w:p w:rsidR="00FF4DF1" w:rsidRPr="00B26C28" w:rsidRDefault="00FF4DF1" w:rsidP="00FF4DF1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(6/30</w:t>
            </w:r>
            <w:r w:rsidRPr="00B26C28">
              <w:rPr>
                <w:rFonts w:eastAsia="標楷體"/>
                <w:color w:val="auto"/>
              </w:rPr>
              <w:t>休業式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全冊對應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之學習內</w:t>
            </w:r>
            <w:bookmarkStart w:id="0" w:name="_GoBack"/>
            <w:bookmarkEnd w:id="0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全冊對應</w:t>
            </w:r>
            <w:proofErr w:type="gramEnd"/>
            <w:r w:rsidRPr="00B365EE">
              <w:rPr>
                <w:rFonts w:ascii="標楷體" w:eastAsia="標楷體" w:hAnsi="標楷體" w:hint="eastAsia"/>
                <w:sz w:val="24"/>
                <w:szCs w:val="24"/>
              </w:rPr>
              <w:t>之學習表現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【第三次評量週】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複習</w:t>
            </w:r>
          </w:p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365E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休業式</w:t>
            </w:r>
          </w:p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</w:p>
          <w:p w:rsidR="00FF4DF1" w:rsidRPr="000A50A1" w:rsidRDefault="00FF4DF1" w:rsidP="00FF4DF1">
            <w:pPr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63F0C" w:rsidP="00F63F0C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教學資源光碟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多元線上學習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資源平台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B365EE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紙筆測驗</w:t>
            </w:r>
          </w:p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</w:t>
            </w:r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互相討論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F4DF1" w:rsidRPr="005F5233" w:rsidRDefault="00FF4DF1" w:rsidP="00FF4DF1">
            <w:pPr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全冊對應</w:t>
            </w:r>
            <w:proofErr w:type="gramEnd"/>
            <w:r w:rsidRPr="00B365EE">
              <w:rPr>
                <w:rFonts w:ascii="標楷體" w:eastAsia="標楷體" w:hAnsi="標楷體" w:cs="標楷體" w:hint="eastAsia"/>
                <w:sz w:val="24"/>
                <w:szCs w:val="24"/>
              </w:rPr>
              <w:t>之議題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DF1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29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30</w:t>
            </w:r>
          </w:p>
          <w:p w:rsidR="00FF4DF1" w:rsidRPr="005F5233" w:rsidRDefault="00FF4DF1" w:rsidP="00FF4DF1">
            <w:pPr>
              <w:adjustRightInd w:val="0"/>
              <w:snapToGrid w:val="0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第三次段考</w:t>
            </w:r>
          </w:p>
        </w:tc>
      </w:tr>
    </w:tbl>
    <w:p w:rsidR="00A420CA" w:rsidRDefault="00A420CA" w:rsidP="00A420CA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:rsidR="00A420CA" w:rsidRDefault="00A420CA" w:rsidP="00A420CA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:rsidR="00A420CA" w:rsidRDefault="00A420CA" w:rsidP="00A420C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A420CA" w:rsidRDefault="00A420CA" w:rsidP="00A420C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A420CA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0CA" w:rsidRDefault="00A420CA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0CA" w:rsidRDefault="00A420CA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0CA" w:rsidRDefault="00A420CA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0CA" w:rsidRDefault="00A420CA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0CA" w:rsidRDefault="00A420CA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0CA" w:rsidRDefault="00A420CA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A420CA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0CA" w:rsidRDefault="00A420CA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A420CA" w:rsidRDefault="00A420CA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420CA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A420CA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CA" w:rsidRDefault="00A420CA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420CA" w:rsidRDefault="00A420CA" w:rsidP="00A420C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A420CA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A420CA" w:rsidSect="00796C7E">
      <w:footerReference w:type="default" r:id="rId13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69" w:rsidRDefault="00182C69">
      <w:r>
        <w:separator/>
      </w:r>
    </w:p>
  </w:endnote>
  <w:endnote w:type="continuationSeparator" w:id="0">
    <w:p w:rsidR="00182C69" w:rsidRDefault="0018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:rsidR="002E38B1" w:rsidRDefault="002E38B1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C3" w:rsidRPr="00173FC3">
          <w:rPr>
            <w:noProof/>
            <w:lang w:val="zh-TW"/>
          </w:rPr>
          <w:t>22</w:t>
        </w:r>
        <w:r>
          <w:fldChar w:fldCharType="end"/>
        </w:r>
      </w:p>
    </w:sdtContent>
  </w:sdt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69" w:rsidRDefault="00182C69">
      <w:r>
        <w:separator/>
      </w:r>
    </w:p>
  </w:footnote>
  <w:footnote w:type="continuationSeparator" w:id="0">
    <w:p w:rsidR="00182C69" w:rsidRDefault="0018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73FC3"/>
    <w:rsid w:val="00181ACE"/>
    <w:rsid w:val="00181F4E"/>
    <w:rsid w:val="00182C69"/>
    <w:rsid w:val="001850A6"/>
    <w:rsid w:val="00187019"/>
    <w:rsid w:val="001918A5"/>
    <w:rsid w:val="00191B20"/>
    <w:rsid w:val="001933CC"/>
    <w:rsid w:val="001948DA"/>
    <w:rsid w:val="00195BA4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1E6D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3BDC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D1D3D"/>
    <w:rsid w:val="006D30E1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959D8"/>
    <w:rsid w:val="00796C7E"/>
    <w:rsid w:val="007A03E7"/>
    <w:rsid w:val="007B08AA"/>
    <w:rsid w:val="007B3628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20CA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94E99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BF5160"/>
    <w:rsid w:val="00C01B71"/>
    <w:rsid w:val="00C0277A"/>
    <w:rsid w:val="00C14C46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C07DB"/>
    <w:rsid w:val="00EC094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3F0C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D06EA"/>
    <w:rsid w:val="00FE5095"/>
    <w:rsid w:val="00FE6368"/>
    <w:rsid w:val="00FF4DF1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28CEF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0695-2CEC-4D48-9E06-1D7DA75F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2024</Words>
  <Characters>11540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7</cp:revision>
  <cp:lastPrinted>2018-11-20T02:54:00Z</cp:lastPrinted>
  <dcterms:created xsi:type="dcterms:W3CDTF">2021-12-11T06:20:00Z</dcterms:created>
  <dcterms:modified xsi:type="dcterms:W3CDTF">2022-01-17T02:22:00Z</dcterms:modified>
</cp:coreProperties>
</file>