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FE" w:rsidRPr="006E0AFE" w:rsidRDefault="006E0AFE" w:rsidP="006E0AFE">
      <w:pPr>
        <w:spacing w:afterLines="50" w:line="400" w:lineRule="exact"/>
        <w:jc w:val="center"/>
        <w:rPr>
          <w:rFonts w:eastAsia="標楷體"/>
          <w:b/>
          <w:color w:val="000000" w:themeColor="text1"/>
          <w:sz w:val="28"/>
          <w:szCs w:val="28"/>
          <w:shd w:val="clear" w:color="auto" w:fill="92D050"/>
        </w:rPr>
      </w:pPr>
      <w:r w:rsidRPr="006E0AFE">
        <w:rPr>
          <w:rFonts w:eastAsia="標楷體" w:hAnsi="標楷體"/>
          <w:b/>
          <w:color w:val="000000" w:themeColor="text1"/>
          <w:sz w:val="28"/>
          <w:szCs w:val="28"/>
        </w:rPr>
        <w:t>新北市</w:t>
      </w:r>
      <w:r w:rsidRPr="006E0A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文山</w:t>
      </w:r>
      <w:r w:rsidRPr="006E0AFE">
        <w:rPr>
          <w:rFonts w:eastAsia="標楷體" w:hAnsi="標楷體"/>
          <w:b/>
          <w:color w:val="000000" w:themeColor="text1"/>
          <w:sz w:val="28"/>
          <w:szCs w:val="28"/>
        </w:rPr>
        <w:t>國民中</w:t>
      </w:r>
      <w:r w:rsidRPr="006E0AFE">
        <w:rPr>
          <w:rFonts w:eastAsia="標楷體" w:hAnsi="標楷體" w:hint="eastAsia"/>
          <w:b/>
          <w:color w:val="000000" w:themeColor="text1"/>
          <w:sz w:val="28"/>
          <w:szCs w:val="28"/>
        </w:rPr>
        <w:t>學</w:t>
      </w:r>
      <w:r w:rsidRPr="006E0AFE">
        <w:rPr>
          <w:rFonts w:eastAsia="標楷體" w:hAnsi="標楷體"/>
          <w:b/>
          <w:color w:val="000000" w:themeColor="text1"/>
          <w:sz w:val="28"/>
          <w:szCs w:val="28"/>
        </w:rPr>
        <w:t>課程發展委員會</w:t>
      </w:r>
      <w:r w:rsidRPr="006E0AFE">
        <w:rPr>
          <w:rFonts w:eastAsia="標楷體" w:hAnsi="標楷體" w:hint="eastAsia"/>
          <w:b/>
          <w:color w:val="000000" w:themeColor="text1"/>
          <w:sz w:val="28"/>
          <w:szCs w:val="28"/>
        </w:rPr>
        <w:t>組織要點</w:t>
      </w:r>
      <w:r w:rsidRPr="006E0AFE"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 </w:t>
      </w:r>
    </w:p>
    <w:p w:rsidR="006E0AFE" w:rsidRPr="006E0AFE" w:rsidRDefault="006E0AFE" w:rsidP="006E0AFE">
      <w:pPr>
        <w:numPr>
          <w:ilvl w:val="0"/>
          <w:numId w:val="1"/>
        </w:numPr>
        <w:spacing w:line="400" w:lineRule="exact"/>
        <w:rPr>
          <w:rFonts w:eastAsia="標楷體" w:hAnsi="標楷體"/>
          <w:strike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新北市立文山國民中學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（以下簡稱本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校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為推動課程發展，依據教育部「十二年國民基本教育課程綱要總綱」，訂定本校課程發展委員會組織要點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以下簡稱本要點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。</w:t>
      </w:r>
    </w:p>
    <w:p w:rsidR="006E0AFE" w:rsidRPr="006E0AFE" w:rsidRDefault="006E0AFE" w:rsidP="006E0AFE">
      <w:pPr>
        <w:spacing w:line="400" w:lineRule="exact"/>
        <w:ind w:left="520" w:hangingChars="200" w:hanging="520"/>
        <w:rPr>
          <w:rFonts w:eastAsia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二、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本校應成立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課程發展委員會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以下簡稱本會，本會之任務及職掌如下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:)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一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掌握學校教育願景，發展學校本位課程。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二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統整及審議學校課程計畫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 xml:space="preserve"> 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含體育班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，另通過經學校特殊教育推行委員會審議通過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 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之特殊教育班課程規劃。</w:t>
      </w:r>
    </w:p>
    <w:p w:rsidR="006E0AFE" w:rsidRPr="006E0AFE" w:rsidRDefault="006E0AFE" w:rsidP="006E0AF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三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）</w:t>
      </w:r>
      <w:r w:rsidRPr="006E0AFE">
        <w:rPr>
          <w:rFonts w:eastAsia="標楷體" w:hint="eastAsia"/>
          <w:color w:val="000000" w:themeColor="text1"/>
          <w:sz w:val="26"/>
          <w:szCs w:val="26"/>
        </w:rPr>
        <w:t>審查學校教科書的選用，以及全年級或全校且全學期使用之自編教材。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（四）議決彈性學習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校訂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課程學習節數。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（五）審查各領域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科目教學研究會之計畫與執行成效。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 xml:space="preserve"> </w:t>
      </w:r>
    </w:p>
    <w:p w:rsidR="006E0AFE" w:rsidRPr="006E0AFE" w:rsidRDefault="006E0AFE" w:rsidP="006E0AF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（六）</w:t>
      </w:r>
      <w:r w:rsidRPr="006E0AFE">
        <w:rPr>
          <w:rFonts w:eastAsia="標楷體" w:hint="eastAsia"/>
          <w:color w:val="000000" w:themeColor="text1"/>
          <w:sz w:val="26"/>
          <w:szCs w:val="26"/>
        </w:rPr>
        <w:t>負責學校課程評鑑，並定期追蹤、檢討和修正。</w:t>
      </w:r>
      <w:r w:rsidRPr="006E0AFE">
        <w:rPr>
          <w:rFonts w:eastAsia="標楷體" w:hint="eastAsia"/>
          <w:color w:val="000000" w:themeColor="text1"/>
          <w:sz w:val="26"/>
          <w:szCs w:val="26"/>
        </w:rPr>
        <w:t xml:space="preserve"> </w:t>
      </w:r>
    </w:p>
    <w:p w:rsidR="006E0AFE" w:rsidRPr="006E0AFE" w:rsidRDefault="006E0AFE" w:rsidP="006E0AFE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（七）</w:t>
      </w:r>
      <w:r w:rsidRPr="006E0AFE">
        <w:rPr>
          <w:rFonts w:eastAsia="標楷體" w:hint="eastAsia"/>
          <w:color w:val="000000" w:themeColor="text1"/>
          <w:sz w:val="26"/>
          <w:szCs w:val="26"/>
        </w:rPr>
        <w:t>規劃教師專業發展進修計畫。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（八）確認學校課務編配之減課範疇、對象等，並應優先針對指導學生學習之教師予以</w:t>
      </w:r>
    </w:p>
    <w:p w:rsidR="006E0AFE" w:rsidRPr="006E0AFE" w:rsidRDefault="006E0AFE" w:rsidP="006E0AFE">
      <w:pPr>
        <w:spacing w:line="400" w:lineRule="exact"/>
        <w:ind w:leftChars="47" w:left="113"/>
        <w:rPr>
          <w:rFonts w:eastAsia="標楷體"/>
          <w:strike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   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減課。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（九）遇有課程安排困難、執行爭議或其他需協處事項時，進行專業對話，排解疑難，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 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以利課程推動。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（十）其他有關課程發展事宜及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依法令應由本會審議或議決事項。</w:t>
      </w:r>
    </w:p>
    <w:p w:rsidR="006E0AFE" w:rsidRPr="006E0AFE" w:rsidRDefault="006E0AFE" w:rsidP="006E0AFE">
      <w:pPr>
        <w:spacing w:line="400" w:lineRule="exact"/>
        <w:ind w:left="380" w:hangingChars="146" w:hanging="380"/>
        <w:rPr>
          <w:rFonts w:eastAsia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三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、課發會置委員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二十五人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，委員均為無給職，其組成方式如下：</w:t>
      </w:r>
    </w:p>
    <w:p w:rsidR="006E0AFE" w:rsidRPr="006E0AFE" w:rsidRDefault="006E0AFE" w:rsidP="006E0AFE">
      <w:pPr>
        <w:spacing w:line="400" w:lineRule="exact"/>
        <w:ind w:leftChars="23" w:left="55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（一）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學校行政人員代表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8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人：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校長及各處室主任（不含人事、主計）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、教學組長、訓育</w:t>
      </w:r>
    </w:p>
    <w:p w:rsidR="006E0AFE" w:rsidRPr="006E0AFE" w:rsidRDefault="006E0AFE" w:rsidP="006E0AFE">
      <w:pPr>
        <w:spacing w:line="400" w:lineRule="exact"/>
        <w:ind w:leftChars="23" w:left="55"/>
        <w:rPr>
          <w:rFonts w:eastAsia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    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組長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為當然委員。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（二）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年級教師代表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3</w:t>
      </w:r>
      <w:r w:rsidRPr="006E0AFE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人：由各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年級導師選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推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舉之。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（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三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特殊類型教育班教師代表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2</w:t>
      </w:r>
      <w:r w:rsidRPr="006E0AFE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人：由特殊教育班、體育班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選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推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舉之。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 xml:space="preserve"> 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（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四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科目教師代表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10</w:t>
      </w:r>
      <w:r w:rsidRPr="006E0AFE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人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：由各領域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科目召集人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含國語文、英語文、數學、社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     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會、自然科學、藝術、綜合活動、健康與體育、科技、特殊需求領域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擔任之。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（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五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教師組織代表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1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人：由教師組織選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推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舉之。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（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六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學生家長委員會代表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1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人：由學生家長委員會選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推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舉之。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     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年級及領域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科目教師代表由未兼行政之教師擔任，其人數不得少於委員總額之二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     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分之一。但教師員額少於委員總額之二分之一者，不在此限。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     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委員由選（推）舉產生時，得選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推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舉候補委員若干人，於委員因故不能擔任時依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     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序遞補之。無候補委員遞補時，即應辦理補選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推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舉。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     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本會委員應於任期內履行委員之義務。委員參加本會會議時，學校應核予公假登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     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記。</w:t>
      </w:r>
    </w:p>
    <w:p w:rsidR="006E0AFE" w:rsidRPr="006E0AFE" w:rsidRDefault="006E0AFE" w:rsidP="006E0AFE">
      <w:pPr>
        <w:spacing w:line="400" w:lineRule="exact"/>
        <w:ind w:left="520" w:hangingChars="200" w:hanging="520"/>
        <w:rPr>
          <w:rFonts w:eastAsia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四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、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本會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委員任期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為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一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學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年，連選得連任。遞補候補委員或補選（推）舉產生之委員，其任期均至原任期屆滿之日止。委員於任期中因故無法執行職務時，應解除其委員職務。</w:t>
      </w:r>
    </w:p>
    <w:p w:rsidR="006E0AFE" w:rsidRPr="006E0AFE" w:rsidRDefault="006E0AFE" w:rsidP="006E0AFE">
      <w:pPr>
        <w:spacing w:line="400" w:lineRule="exact"/>
        <w:ind w:left="520" w:hangingChars="200" w:hanging="52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五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、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本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會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每學年定期舉行四次會議，以每學期各兩次為原則。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但經委員二分之一以上連署開會時，校長應召開臨時委員會議。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本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會開會時，校長為當然主席，校長因故無法主</w:t>
      </w:r>
      <w:r w:rsidRPr="006E0AFE">
        <w:rPr>
          <w:rFonts w:eastAsia="標楷體" w:hAnsi="標楷體"/>
          <w:color w:val="000000" w:themeColor="text1"/>
          <w:sz w:val="26"/>
          <w:szCs w:val="26"/>
        </w:rPr>
        <w:lastRenderedPageBreak/>
        <w:t>持時，由委員互推一人為主席。</w:t>
      </w:r>
    </w:p>
    <w:p w:rsidR="006E0AFE" w:rsidRPr="006E0AFE" w:rsidRDefault="006E0AFE" w:rsidP="006E0AFE">
      <w:pPr>
        <w:spacing w:line="400" w:lineRule="exact"/>
        <w:ind w:leftChars="235" w:left="564" w:firstLineChars="1" w:firstLine="3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本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會開會時，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應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全體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委員二分之一以上出席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，及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出席委員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二分之一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以上之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決議行之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6E0AFE" w:rsidRPr="006E0AFE" w:rsidRDefault="006E0AFE" w:rsidP="006E0AFE">
      <w:pPr>
        <w:spacing w:line="400" w:lineRule="exact"/>
        <w:ind w:leftChars="235" w:left="564" w:firstLineChars="1" w:firstLine="3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但學校課程計畫為學校本位課程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規劃之具體成果，應由全體委員三分之二以上出席，及二分之一以上出席委員通過，始得送新北市政府教育局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以下簡稱教育局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備查。</w:t>
      </w:r>
    </w:p>
    <w:p w:rsidR="006E0AFE" w:rsidRPr="006E0AFE" w:rsidRDefault="006E0AFE" w:rsidP="006E0AFE">
      <w:pPr>
        <w:spacing w:line="400" w:lineRule="exact"/>
        <w:ind w:left="520" w:hangingChars="200" w:hanging="52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六、本會每學期應依教育局規定時程審議完成下一學期學校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課程計畫，並送教育局備查。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七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、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本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會得邀請學者專家、其他相關人員列席諮詢。</w:t>
      </w:r>
    </w:p>
    <w:p w:rsidR="006E0AFE" w:rsidRPr="006E0AFE" w:rsidRDefault="006E0AFE" w:rsidP="006E0AFE">
      <w:pPr>
        <w:spacing w:line="400" w:lineRule="exact"/>
        <w:ind w:left="567" w:hangingChars="218" w:hanging="567"/>
        <w:rPr>
          <w:rFonts w:eastAsia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八、本會下設各領域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科目教學研究會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以下簡稱各研究會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，分為國語文、英語文、數學、社會、自然科學、藝術、綜合活動、健康與體育、科技、特殊需求領域課程等教學研究會，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職掌如下：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（一）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擬定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所屬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課程計畫。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（二）分析所屬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之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審定本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教材，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或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自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編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教材。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（三）進行橫向及縱向課程統整或補強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規劃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事宜。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（四）規劃所屬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教師專業成長進修計畫。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（五）擬定所屬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教學評量。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（六）擬定所屬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教師教學評鑑指標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，並實施教學評鑑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（七）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實踐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課程與協同教學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相關事宜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（八）檢討與改進所屬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教學策略與成效。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（九）其他有關所屬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科目相關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事宜。</w:t>
      </w:r>
    </w:p>
    <w:p w:rsidR="006E0AFE" w:rsidRPr="006E0AFE" w:rsidRDefault="006E0AFE" w:rsidP="006E0AFE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九、各研究會組成人員及實施方式如下：</w:t>
      </w:r>
    </w:p>
    <w:p w:rsidR="006E0AFE" w:rsidRPr="006E0AFE" w:rsidRDefault="006E0AFE" w:rsidP="006E0AFE">
      <w:pPr>
        <w:spacing w:line="400" w:lineRule="exact"/>
        <w:ind w:leftChars="150" w:left="1140" w:hangingChars="300" w:hanging="78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（一）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各研究會成員應涵蓋各年級或各學習階段教師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，每位教師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應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參加一個以上之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教學研究會，另得視需要邀請家長及社區代表參與。</w:t>
      </w:r>
    </w:p>
    <w:p w:rsidR="006E0AFE" w:rsidRPr="006E0AFE" w:rsidRDefault="006E0AFE" w:rsidP="006E0AFE">
      <w:pPr>
        <w:spacing w:line="400" w:lineRule="exact"/>
        <w:ind w:leftChars="150" w:left="1140" w:hangingChars="300" w:hanging="78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（二）各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研究會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置召集人一人，由成員選（推）舉產生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，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召集人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應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定期召集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小組會議。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但經成員二分之一以上連署開會時，召集人應召開臨時會議。</w:t>
      </w:r>
    </w:p>
    <w:p w:rsidR="006E0AFE" w:rsidRPr="006E0AFE" w:rsidRDefault="006E0AFE" w:rsidP="006E0AFE">
      <w:pPr>
        <w:spacing w:line="400" w:lineRule="exact"/>
        <w:ind w:leftChars="150" w:left="1140" w:hangingChars="300" w:hanging="78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（三）各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研究會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於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學期結束前應擬定及初審次一學期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所屬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領域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 xml:space="preserve"> /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科目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課程計畫，送請學校課發會審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議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（四）各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研究會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審議通過之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提案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，由召集人送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課發會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核定後辦理。</w:t>
      </w:r>
    </w:p>
    <w:p w:rsidR="006E0AFE" w:rsidRPr="006E0AFE" w:rsidRDefault="006E0AFE" w:rsidP="006E0AFE">
      <w:pPr>
        <w:spacing w:line="400" w:lineRule="exact"/>
        <w:ind w:firstLineChars="150" w:firstLine="390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（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五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）各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研究會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開會時得邀請學者專家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等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列席。</w:t>
      </w:r>
    </w:p>
    <w:p w:rsidR="006E0AFE" w:rsidRPr="006E0AFE" w:rsidRDefault="006E0AFE" w:rsidP="006E0AFE">
      <w:pPr>
        <w:spacing w:line="400" w:lineRule="exact"/>
        <w:ind w:left="567" w:hangingChars="218" w:hanging="567"/>
        <w:rPr>
          <w:rFonts w:eastAsia="標楷體" w:hAnsi="標楷體"/>
          <w:color w:val="000000" w:themeColor="text1"/>
          <w:sz w:val="26"/>
          <w:szCs w:val="26"/>
        </w:rPr>
      </w:pP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十、本會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之行政工作，由學校教務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處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主辦，相關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處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(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室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)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協辦。</w:t>
      </w:r>
    </w:p>
    <w:p w:rsidR="006E0AFE" w:rsidRPr="006E0AFE" w:rsidRDefault="006E0AFE" w:rsidP="006E0AFE">
      <w:pPr>
        <w:spacing w:line="400" w:lineRule="exact"/>
        <w:rPr>
          <w:color w:val="000000" w:themeColor="text1"/>
        </w:rPr>
      </w:pPr>
      <w:r w:rsidRPr="006E0AFE">
        <w:rPr>
          <w:rFonts w:eastAsia="標楷體" w:hAnsi="標楷體"/>
          <w:color w:val="000000" w:themeColor="text1"/>
          <w:sz w:val="26"/>
          <w:szCs w:val="26"/>
        </w:rPr>
        <w:t>十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一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、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本要點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經</w:t>
      </w:r>
      <w:r w:rsidRPr="006E0AFE">
        <w:rPr>
          <w:rFonts w:eastAsia="標楷體" w:hAnsi="標楷體" w:hint="eastAsia"/>
          <w:color w:val="000000" w:themeColor="text1"/>
          <w:sz w:val="26"/>
          <w:szCs w:val="26"/>
        </w:rPr>
        <w:t>本校</w:t>
      </w:r>
      <w:r w:rsidRPr="006E0AFE">
        <w:rPr>
          <w:rFonts w:eastAsia="標楷體" w:hAnsi="標楷體"/>
          <w:color w:val="000000" w:themeColor="text1"/>
          <w:sz w:val="26"/>
          <w:szCs w:val="26"/>
        </w:rPr>
        <w:t>校務會議通過，校長核定後施行，修正時亦同。</w:t>
      </w:r>
    </w:p>
    <w:p w:rsidR="006E0AFE" w:rsidRPr="006E0AFE" w:rsidRDefault="006E0AFE" w:rsidP="006E0AFE">
      <w:pPr>
        <w:snapToGrid w:val="0"/>
        <w:spacing w:line="0" w:lineRule="atLeast"/>
        <w:rPr>
          <w:rFonts w:eastAsia="標楷體"/>
          <w:color w:val="000000" w:themeColor="text1"/>
        </w:rPr>
      </w:pPr>
    </w:p>
    <w:p w:rsidR="00D9204E" w:rsidRPr="006E0AFE" w:rsidRDefault="00D9204E">
      <w:pPr>
        <w:rPr>
          <w:color w:val="000000" w:themeColor="text1"/>
        </w:rPr>
      </w:pPr>
    </w:p>
    <w:sectPr w:rsidR="00D9204E" w:rsidRPr="006E0AFE" w:rsidSect="006E0AFE">
      <w:footerReference w:type="default" r:id="rId5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1B" w:rsidRDefault="006E0AFE" w:rsidP="002335ED">
    <w:pPr>
      <w:pStyle w:val="a3"/>
      <w:jc w:val="center"/>
    </w:pPr>
    <w:r>
      <w:rPr>
        <w:rFonts w:hint="eastAsia"/>
      </w:rPr>
      <w:t>─</w:t>
    </w:r>
    <w:r>
      <w:rPr>
        <w:rFonts w:hint="eastAsia"/>
      </w:rPr>
      <w:t xml:space="preserve"> 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─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42F"/>
    <w:multiLevelType w:val="hybridMultilevel"/>
    <w:tmpl w:val="F104B32E"/>
    <w:lvl w:ilvl="0" w:tplc="97F4DA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AFE"/>
    <w:rsid w:val="006E0AFE"/>
    <w:rsid w:val="00D9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0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E0A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2019-07-07T03:49:00Z</dcterms:created>
  <dcterms:modified xsi:type="dcterms:W3CDTF">2019-07-07T03:49:00Z</dcterms:modified>
</cp:coreProperties>
</file>